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5366A" w14:textId="0D9DDE64" w:rsidR="00084E61" w:rsidRDefault="00505B4E" w:rsidP="002F76AF">
      <w:pPr>
        <w:tabs>
          <w:tab w:val="left" w:pos="2970"/>
        </w:tabs>
      </w:pPr>
      <w:r>
        <w:rPr>
          <w:noProof/>
          <w:lang w:eastAsia="fr-FR"/>
        </w:rPr>
        <w:drawing>
          <wp:anchor distT="0" distB="0" distL="114300" distR="114300" simplePos="0" relativeHeight="251659264" behindDoc="1" locked="0" layoutInCell="1" allowOverlap="1" wp14:anchorId="7C696456" wp14:editId="6283DE4A">
            <wp:simplePos x="0" y="0"/>
            <wp:positionH relativeFrom="margin">
              <wp:posOffset>1514475</wp:posOffset>
            </wp:positionH>
            <wp:positionV relativeFrom="paragraph">
              <wp:posOffset>-885825</wp:posOffset>
            </wp:positionV>
            <wp:extent cx="2990850" cy="12001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990850" cy="1200150"/>
                    </a:xfrm>
                    <a:prstGeom prst="rect">
                      <a:avLst/>
                    </a:prstGeom>
                    <a:noFill/>
                    <a:ln>
                      <a:noFill/>
                    </a:ln>
                  </pic:spPr>
                </pic:pic>
              </a:graphicData>
            </a:graphic>
            <wp14:sizeRelV relativeFrom="margin">
              <wp14:pctHeight>0</wp14:pctHeight>
            </wp14:sizeRelV>
          </wp:anchor>
        </w:drawing>
      </w:r>
    </w:p>
    <w:p w14:paraId="7A3221C1" w14:textId="77777777" w:rsidR="000B7F5A" w:rsidRDefault="000B7F5A" w:rsidP="001233CE">
      <w:pPr>
        <w:spacing w:line="240" w:lineRule="auto"/>
      </w:pPr>
    </w:p>
    <w:p w14:paraId="4A2183A1" w14:textId="576660D6" w:rsidR="005C1760" w:rsidRPr="00B131E5" w:rsidRDefault="00084E61" w:rsidP="00084E61">
      <w:pPr>
        <w:jc w:val="center"/>
        <w:rPr>
          <w:b/>
          <w:bCs/>
          <w:color w:val="323E4F" w:themeColor="text2" w:themeShade="BF"/>
          <w:sz w:val="34"/>
          <w:szCs w:val="34"/>
        </w:rPr>
      </w:pPr>
      <w:r w:rsidRPr="00B131E5">
        <w:rPr>
          <w:b/>
          <w:bCs/>
          <w:color w:val="323E4F" w:themeColor="text2" w:themeShade="BF"/>
          <w:sz w:val="34"/>
          <w:szCs w:val="34"/>
        </w:rPr>
        <w:t xml:space="preserve">BAREME DES HONORAIRES DE L’AGENCE </w:t>
      </w:r>
      <w:r w:rsidR="00505B4E">
        <w:rPr>
          <w:b/>
          <w:bCs/>
          <w:color w:val="323E4F" w:themeColor="text2" w:themeShade="BF"/>
          <w:sz w:val="34"/>
          <w:szCs w:val="34"/>
        </w:rPr>
        <w:t>ADL</w:t>
      </w:r>
    </w:p>
    <w:p w14:paraId="4FA4B087" w14:textId="1EB8C544" w:rsidR="00B131E5" w:rsidRPr="00B131E5" w:rsidRDefault="00B131E5" w:rsidP="00084E61">
      <w:pPr>
        <w:jc w:val="center"/>
        <w:rPr>
          <w:b/>
          <w:bCs/>
          <w:color w:val="323E4F" w:themeColor="text2" w:themeShade="BF"/>
          <w:sz w:val="34"/>
          <w:szCs w:val="34"/>
        </w:rPr>
      </w:pPr>
      <w:r w:rsidRPr="00B131E5">
        <w:rPr>
          <w:b/>
          <w:bCs/>
          <w:color w:val="323E4F" w:themeColor="text2" w:themeShade="BF"/>
          <w:sz w:val="34"/>
          <w:szCs w:val="34"/>
        </w:rPr>
        <w:t>HONORAIRES A LA CHARGE DU VENDEUR</w:t>
      </w:r>
    </w:p>
    <w:p w14:paraId="23B04694" w14:textId="611BB157" w:rsidR="00084E61" w:rsidRPr="00B131E5" w:rsidRDefault="00084E61" w:rsidP="00084E61">
      <w:pPr>
        <w:jc w:val="center"/>
        <w:rPr>
          <w:b/>
          <w:bCs/>
          <w:color w:val="323E4F" w:themeColor="text2" w:themeShade="BF"/>
          <w:sz w:val="34"/>
          <w:szCs w:val="34"/>
        </w:rPr>
      </w:pPr>
      <w:r w:rsidRPr="00B131E5">
        <w:rPr>
          <w:b/>
          <w:bCs/>
          <w:color w:val="323E4F" w:themeColor="text2" w:themeShade="BF"/>
          <w:sz w:val="34"/>
          <w:szCs w:val="34"/>
        </w:rPr>
        <w:t>SERVICE TRANSACTION VENTE</w:t>
      </w:r>
    </w:p>
    <w:p w14:paraId="2CBD72F6" w14:textId="3CD224FD" w:rsidR="002F76AF" w:rsidRDefault="00084E61" w:rsidP="002F76AF">
      <w:pPr>
        <w:jc w:val="center"/>
        <w:rPr>
          <w:b/>
          <w:bCs/>
          <w:color w:val="323E4F" w:themeColor="text2" w:themeShade="BF"/>
          <w:sz w:val="28"/>
          <w:szCs w:val="28"/>
        </w:rPr>
      </w:pPr>
      <w:r w:rsidRPr="00084E61">
        <w:rPr>
          <w:b/>
          <w:bCs/>
          <w:color w:val="323E4F" w:themeColor="text2" w:themeShade="BF"/>
          <w:sz w:val="28"/>
          <w:szCs w:val="28"/>
        </w:rPr>
        <w:t>Tarifs applicable</w:t>
      </w:r>
      <w:r w:rsidR="001555F5">
        <w:rPr>
          <w:b/>
          <w:bCs/>
          <w:color w:val="323E4F" w:themeColor="text2" w:themeShade="BF"/>
          <w:sz w:val="28"/>
          <w:szCs w:val="28"/>
        </w:rPr>
        <w:t>s</w:t>
      </w:r>
      <w:r w:rsidRPr="00084E61">
        <w:rPr>
          <w:b/>
          <w:bCs/>
          <w:color w:val="323E4F" w:themeColor="text2" w:themeShade="BF"/>
          <w:sz w:val="28"/>
          <w:szCs w:val="28"/>
        </w:rPr>
        <w:t xml:space="preserve"> au</w:t>
      </w:r>
      <w:r w:rsidR="00755F73">
        <w:rPr>
          <w:b/>
          <w:bCs/>
          <w:color w:val="323E4F" w:themeColor="text2" w:themeShade="BF"/>
          <w:sz w:val="28"/>
          <w:szCs w:val="28"/>
        </w:rPr>
        <w:t xml:space="preserve"> 8/11</w:t>
      </w:r>
      <w:r w:rsidRPr="00084E61">
        <w:rPr>
          <w:b/>
          <w:bCs/>
          <w:color w:val="323E4F" w:themeColor="text2" w:themeShade="BF"/>
          <w:sz w:val="28"/>
          <w:szCs w:val="28"/>
        </w:rPr>
        <w:t>/2021</w:t>
      </w:r>
    </w:p>
    <w:p w14:paraId="1E4BA027" w14:textId="517018A4" w:rsidR="00084E61" w:rsidRDefault="00467AFA" w:rsidP="00391019">
      <w:pPr>
        <w:pStyle w:val="Paragraphedeliste"/>
        <w:numPr>
          <w:ilvl w:val="0"/>
          <w:numId w:val="1"/>
        </w:numPr>
        <w:ind w:left="284"/>
        <w:rPr>
          <w:color w:val="323E4F" w:themeColor="text2" w:themeShade="BF"/>
          <w:sz w:val="24"/>
          <w:szCs w:val="24"/>
        </w:rPr>
      </w:pPr>
      <w:r w:rsidRPr="00DF53CA">
        <w:rPr>
          <w:b/>
          <w:bCs/>
          <w:color w:val="323E4F" w:themeColor="text2" w:themeShade="BF"/>
          <w:sz w:val="24"/>
          <w:szCs w:val="24"/>
          <w:u w:val="single"/>
        </w:rPr>
        <w:t xml:space="preserve">Pour un prix de vente </w:t>
      </w:r>
      <w:r w:rsidR="001B50A4">
        <w:rPr>
          <w:b/>
          <w:bCs/>
          <w:color w:val="323E4F" w:themeColor="text2" w:themeShade="BF"/>
          <w:sz w:val="24"/>
          <w:szCs w:val="24"/>
          <w:u w:val="single"/>
        </w:rPr>
        <w:t>de 0</w:t>
      </w:r>
      <w:r w:rsidRPr="00DF53CA">
        <w:rPr>
          <w:b/>
          <w:bCs/>
          <w:color w:val="323E4F" w:themeColor="text2" w:themeShade="BF"/>
          <w:sz w:val="24"/>
          <w:szCs w:val="24"/>
          <w:u w:val="single"/>
        </w:rPr>
        <w:t xml:space="preserve"> à </w:t>
      </w:r>
      <w:r w:rsidR="001B50A4">
        <w:rPr>
          <w:b/>
          <w:bCs/>
          <w:color w:val="323E4F" w:themeColor="text2" w:themeShade="BF"/>
          <w:sz w:val="24"/>
          <w:szCs w:val="24"/>
          <w:u w:val="single"/>
        </w:rPr>
        <w:t>1</w:t>
      </w:r>
      <w:r w:rsidR="00F642CB">
        <w:rPr>
          <w:b/>
          <w:bCs/>
          <w:color w:val="323E4F" w:themeColor="text2" w:themeShade="BF"/>
          <w:sz w:val="24"/>
          <w:szCs w:val="24"/>
          <w:u w:val="single"/>
        </w:rPr>
        <w:t>6</w:t>
      </w:r>
      <w:r w:rsidRPr="00DF53CA">
        <w:rPr>
          <w:b/>
          <w:bCs/>
          <w:color w:val="323E4F" w:themeColor="text2" w:themeShade="BF"/>
          <w:sz w:val="24"/>
          <w:szCs w:val="24"/>
          <w:u w:val="single"/>
        </w:rPr>
        <w:t> </w:t>
      </w:r>
      <w:r w:rsidR="00F642CB">
        <w:rPr>
          <w:b/>
          <w:bCs/>
          <w:color w:val="323E4F" w:themeColor="text2" w:themeShade="BF"/>
          <w:sz w:val="24"/>
          <w:szCs w:val="24"/>
          <w:u w:val="single"/>
        </w:rPr>
        <w:t>5</w:t>
      </w:r>
      <w:r w:rsidRPr="00DF53CA">
        <w:rPr>
          <w:b/>
          <w:bCs/>
          <w:color w:val="323E4F" w:themeColor="text2" w:themeShade="BF"/>
          <w:sz w:val="24"/>
          <w:szCs w:val="24"/>
          <w:u w:val="single"/>
        </w:rPr>
        <w:t>00 € </w:t>
      </w:r>
      <w:r w:rsidRPr="00DF53CA">
        <w:rPr>
          <w:color w:val="323E4F" w:themeColor="text2" w:themeShade="BF"/>
          <w:sz w:val="24"/>
          <w:szCs w:val="24"/>
        </w:rPr>
        <w:t>: rémunération forfaitaire minimale de 2000 € TTC.</w:t>
      </w:r>
    </w:p>
    <w:p w14:paraId="546E33BA" w14:textId="77777777" w:rsidR="00755F73" w:rsidRDefault="00755F73" w:rsidP="00755F73">
      <w:pPr>
        <w:pStyle w:val="Paragraphedeliste"/>
        <w:ind w:left="284"/>
        <w:rPr>
          <w:color w:val="323E4F" w:themeColor="text2" w:themeShade="BF"/>
          <w:sz w:val="24"/>
          <w:szCs w:val="24"/>
        </w:rPr>
      </w:pPr>
    </w:p>
    <w:p w14:paraId="35C7678E" w14:textId="15B033B5" w:rsidR="001B50A4" w:rsidRPr="00DF53CA" w:rsidRDefault="001B50A4" w:rsidP="00391019">
      <w:pPr>
        <w:pStyle w:val="Paragraphedeliste"/>
        <w:numPr>
          <w:ilvl w:val="0"/>
          <w:numId w:val="1"/>
        </w:numPr>
        <w:ind w:left="284"/>
        <w:rPr>
          <w:color w:val="323E4F" w:themeColor="text2" w:themeShade="BF"/>
          <w:sz w:val="24"/>
          <w:szCs w:val="24"/>
        </w:rPr>
      </w:pPr>
      <w:r w:rsidRPr="001B50A4">
        <w:rPr>
          <w:b/>
          <w:bCs/>
          <w:color w:val="323E4F" w:themeColor="text2" w:themeShade="BF"/>
          <w:sz w:val="24"/>
          <w:szCs w:val="24"/>
          <w:u w:val="single"/>
        </w:rPr>
        <w:t>Pour un prix de vente de 1</w:t>
      </w:r>
      <w:r w:rsidR="00F642CB">
        <w:rPr>
          <w:b/>
          <w:bCs/>
          <w:color w:val="323E4F" w:themeColor="text2" w:themeShade="BF"/>
          <w:sz w:val="24"/>
          <w:szCs w:val="24"/>
          <w:u w:val="single"/>
        </w:rPr>
        <w:t>6</w:t>
      </w:r>
      <w:r w:rsidRPr="001B50A4">
        <w:rPr>
          <w:b/>
          <w:bCs/>
          <w:color w:val="323E4F" w:themeColor="text2" w:themeShade="BF"/>
          <w:sz w:val="24"/>
          <w:szCs w:val="24"/>
          <w:u w:val="single"/>
        </w:rPr>
        <w:t> </w:t>
      </w:r>
      <w:r w:rsidR="00F642CB">
        <w:rPr>
          <w:b/>
          <w:bCs/>
          <w:color w:val="323E4F" w:themeColor="text2" w:themeShade="BF"/>
          <w:sz w:val="24"/>
          <w:szCs w:val="24"/>
          <w:u w:val="single"/>
        </w:rPr>
        <w:t>5</w:t>
      </w:r>
      <w:r w:rsidRPr="001B50A4">
        <w:rPr>
          <w:b/>
          <w:bCs/>
          <w:color w:val="323E4F" w:themeColor="text2" w:themeShade="BF"/>
          <w:sz w:val="24"/>
          <w:szCs w:val="24"/>
          <w:u w:val="single"/>
        </w:rPr>
        <w:t>01 € à 25 000 €</w:t>
      </w:r>
      <w:r>
        <w:rPr>
          <w:color w:val="323E4F" w:themeColor="text2" w:themeShade="BF"/>
          <w:sz w:val="24"/>
          <w:szCs w:val="24"/>
        </w:rPr>
        <w:t xml:space="preserve"> : </w:t>
      </w:r>
      <w:r w:rsidRPr="00DF53CA">
        <w:rPr>
          <w:color w:val="323E4F" w:themeColor="text2" w:themeShade="BF"/>
          <w:sz w:val="24"/>
          <w:szCs w:val="24"/>
        </w:rPr>
        <w:t>12 % TTC du prix de vente</w:t>
      </w:r>
      <w:r>
        <w:rPr>
          <w:color w:val="323E4F" w:themeColor="text2" w:themeShade="BF"/>
          <w:sz w:val="24"/>
          <w:szCs w:val="24"/>
        </w:rPr>
        <w:t>.</w:t>
      </w:r>
    </w:p>
    <w:p w14:paraId="724FF75C" w14:textId="77777777" w:rsidR="001B7914" w:rsidRPr="00DF53CA" w:rsidRDefault="001B7914" w:rsidP="00391019">
      <w:pPr>
        <w:pStyle w:val="Paragraphedeliste"/>
        <w:ind w:left="284"/>
        <w:rPr>
          <w:color w:val="323E4F" w:themeColor="text2" w:themeShade="BF"/>
          <w:sz w:val="24"/>
          <w:szCs w:val="24"/>
        </w:rPr>
      </w:pPr>
    </w:p>
    <w:p w14:paraId="21BA7013" w14:textId="568718D9" w:rsidR="00467AFA" w:rsidRPr="00DF53CA" w:rsidRDefault="00467AFA" w:rsidP="00391019">
      <w:pPr>
        <w:pStyle w:val="Paragraphedeliste"/>
        <w:numPr>
          <w:ilvl w:val="0"/>
          <w:numId w:val="1"/>
        </w:numPr>
        <w:ind w:left="284"/>
        <w:rPr>
          <w:color w:val="323E4F" w:themeColor="text2" w:themeShade="BF"/>
          <w:sz w:val="24"/>
          <w:szCs w:val="24"/>
        </w:rPr>
      </w:pPr>
      <w:r w:rsidRPr="00DF53CA">
        <w:rPr>
          <w:b/>
          <w:bCs/>
          <w:color w:val="323E4F" w:themeColor="text2" w:themeShade="BF"/>
          <w:sz w:val="24"/>
          <w:szCs w:val="24"/>
          <w:u w:val="single"/>
        </w:rPr>
        <w:t>Pour un prix de vente compris entre 25 001 et 60 000 €</w:t>
      </w:r>
      <w:r w:rsidRPr="00DF53CA">
        <w:rPr>
          <w:color w:val="323E4F" w:themeColor="text2" w:themeShade="BF"/>
          <w:sz w:val="24"/>
          <w:szCs w:val="24"/>
        </w:rPr>
        <w:t> : 10 %</w:t>
      </w:r>
      <w:r w:rsidR="00DF53CA" w:rsidRPr="00DF53CA">
        <w:rPr>
          <w:color w:val="323E4F" w:themeColor="text2" w:themeShade="BF"/>
          <w:sz w:val="24"/>
          <w:szCs w:val="24"/>
        </w:rPr>
        <w:t xml:space="preserve"> TTC</w:t>
      </w:r>
      <w:r w:rsidRPr="00DF53CA">
        <w:rPr>
          <w:color w:val="323E4F" w:themeColor="text2" w:themeShade="BF"/>
          <w:sz w:val="24"/>
          <w:szCs w:val="24"/>
        </w:rPr>
        <w:t xml:space="preserve"> du prix de vente.</w:t>
      </w:r>
    </w:p>
    <w:p w14:paraId="2DC343E1" w14:textId="77777777" w:rsidR="00467AFA" w:rsidRPr="00DF53CA" w:rsidRDefault="00467AFA" w:rsidP="00391019">
      <w:pPr>
        <w:pStyle w:val="Paragraphedeliste"/>
        <w:ind w:left="284"/>
        <w:rPr>
          <w:color w:val="323E4F" w:themeColor="text2" w:themeShade="BF"/>
          <w:sz w:val="24"/>
          <w:szCs w:val="24"/>
        </w:rPr>
      </w:pPr>
    </w:p>
    <w:p w14:paraId="059E8790" w14:textId="51FFBB01" w:rsidR="00467AFA" w:rsidRPr="00DF53CA" w:rsidRDefault="00467AFA" w:rsidP="00391019">
      <w:pPr>
        <w:pStyle w:val="Paragraphedeliste"/>
        <w:numPr>
          <w:ilvl w:val="0"/>
          <w:numId w:val="1"/>
        </w:numPr>
        <w:ind w:left="284"/>
        <w:rPr>
          <w:color w:val="323E4F" w:themeColor="text2" w:themeShade="BF"/>
          <w:sz w:val="24"/>
          <w:szCs w:val="24"/>
        </w:rPr>
      </w:pPr>
      <w:r w:rsidRPr="00DF53CA">
        <w:rPr>
          <w:b/>
          <w:bCs/>
          <w:color w:val="323E4F" w:themeColor="text2" w:themeShade="BF"/>
          <w:sz w:val="24"/>
          <w:szCs w:val="24"/>
          <w:u w:val="single"/>
        </w:rPr>
        <w:t>Pour un prix de vente compris entre 60 001 et 1</w:t>
      </w:r>
      <w:r w:rsidR="008F4A9C">
        <w:rPr>
          <w:b/>
          <w:bCs/>
          <w:color w:val="323E4F" w:themeColor="text2" w:themeShade="BF"/>
          <w:sz w:val="24"/>
          <w:szCs w:val="24"/>
          <w:u w:val="single"/>
        </w:rPr>
        <w:t>00</w:t>
      </w:r>
      <w:r w:rsidRPr="00DF53CA">
        <w:rPr>
          <w:b/>
          <w:bCs/>
          <w:color w:val="323E4F" w:themeColor="text2" w:themeShade="BF"/>
          <w:sz w:val="24"/>
          <w:szCs w:val="24"/>
          <w:u w:val="single"/>
        </w:rPr>
        <w:t> 000 €</w:t>
      </w:r>
      <w:r w:rsidRPr="00DF53CA">
        <w:rPr>
          <w:color w:val="323E4F" w:themeColor="text2" w:themeShade="BF"/>
          <w:sz w:val="24"/>
          <w:szCs w:val="24"/>
        </w:rPr>
        <w:t> </w:t>
      </w:r>
      <w:r w:rsidRPr="00DF53CA">
        <w:rPr>
          <w:sz w:val="24"/>
          <w:szCs w:val="24"/>
        </w:rPr>
        <w:t xml:space="preserve">: </w:t>
      </w:r>
      <w:r w:rsidR="008F4A9C">
        <w:rPr>
          <w:sz w:val="24"/>
          <w:szCs w:val="24"/>
        </w:rPr>
        <w:t>9</w:t>
      </w:r>
      <w:r w:rsidRPr="00DF53CA">
        <w:rPr>
          <w:sz w:val="24"/>
          <w:szCs w:val="24"/>
        </w:rPr>
        <w:t xml:space="preserve"> %</w:t>
      </w:r>
      <w:r w:rsidR="00DF53CA" w:rsidRPr="00DF53CA">
        <w:rPr>
          <w:sz w:val="24"/>
          <w:szCs w:val="24"/>
        </w:rPr>
        <w:t xml:space="preserve"> TTC</w:t>
      </w:r>
      <w:r w:rsidRPr="00DF53CA">
        <w:rPr>
          <w:sz w:val="24"/>
          <w:szCs w:val="24"/>
        </w:rPr>
        <w:t xml:space="preserve"> du prix de vente.</w:t>
      </w:r>
    </w:p>
    <w:p w14:paraId="13257F20" w14:textId="77777777" w:rsidR="00467AFA" w:rsidRPr="00DF53CA" w:rsidRDefault="00467AFA" w:rsidP="00391019">
      <w:pPr>
        <w:pStyle w:val="Paragraphedeliste"/>
        <w:ind w:left="284"/>
        <w:rPr>
          <w:color w:val="323E4F" w:themeColor="text2" w:themeShade="BF"/>
          <w:sz w:val="24"/>
          <w:szCs w:val="24"/>
        </w:rPr>
      </w:pPr>
    </w:p>
    <w:p w14:paraId="647261F9" w14:textId="13752198" w:rsidR="00467AFA" w:rsidRPr="00DF53CA" w:rsidRDefault="00467AFA" w:rsidP="00391019">
      <w:pPr>
        <w:pStyle w:val="Paragraphedeliste"/>
        <w:numPr>
          <w:ilvl w:val="0"/>
          <w:numId w:val="1"/>
        </w:numPr>
        <w:ind w:left="284"/>
        <w:rPr>
          <w:color w:val="323E4F" w:themeColor="text2" w:themeShade="BF"/>
          <w:sz w:val="24"/>
          <w:szCs w:val="24"/>
        </w:rPr>
      </w:pPr>
      <w:r w:rsidRPr="00DF53CA">
        <w:rPr>
          <w:b/>
          <w:bCs/>
          <w:color w:val="323E4F" w:themeColor="text2" w:themeShade="BF"/>
          <w:sz w:val="24"/>
          <w:szCs w:val="24"/>
          <w:u w:val="single"/>
        </w:rPr>
        <w:t>Pour un prix de vente compris entre 1</w:t>
      </w:r>
      <w:r w:rsidR="008F4A9C">
        <w:rPr>
          <w:b/>
          <w:bCs/>
          <w:color w:val="323E4F" w:themeColor="text2" w:themeShade="BF"/>
          <w:sz w:val="24"/>
          <w:szCs w:val="24"/>
          <w:u w:val="single"/>
        </w:rPr>
        <w:t>0</w:t>
      </w:r>
      <w:r w:rsidRPr="00DF53CA">
        <w:rPr>
          <w:b/>
          <w:bCs/>
          <w:color w:val="323E4F" w:themeColor="text2" w:themeShade="BF"/>
          <w:sz w:val="24"/>
          <w:szCs w:val="24"/>
          <w:u w:val="single"/>
        </w:rPr>
        <w:t xml:space="preserve">0 001 et </w:t>
      </w:r>
      <w:r w:rsidR="00391019">
        <w:rPr>
          <w:b/>
          <w:bCs/>
          <w:color w:val="323E4F" w:themeColor="text2" w:themeShade="BF"/>
          <w:sz w:val="24"/>
          <w:szCs w:val="24"/>
          <w:u w:val="single"/>
        </w:rPr>
        <w:t>150</w:t>
      </w:r>
      <w:r w:rsidRPr="00DF53CA">
        <w:rPr>
          <w:b/>
          <w:bCs/>
          <w:color w:val="323E4F" w:themeColor="text2" w:themeShade="BF"/>
          <w:sz w:val="24"/>
          <w:szCs w:val="24"/>
          <w:u w:val="single"/>
        </w:rPr>
        <w:t xml:space="preserve"> 000 €</w:t>
      </w:r>
      <w:r w:rsidRPr="00DF53CA">
        <w:rPr>
          <w:color w:val="323E4F" w:themeColor="text2" w:themeShade="BF"/>
          <w:sz w:val="24"/>
          <w:szCs w:val="24"/>
        </w:rPr>
        <w:t xml:space="preserve"> : </w:t>
      </w:r>
      <w:r w:rsidR="008F4A9C">
        <w:rPr>
          <w:color w:val="323E4F" w:themeColor="text2" w:themeShade="BF"/>
          <w:sz w:val="24"/>
          <w:szCs w:val="24"/>
        </w:rPr>
        <w:t>8</w:t>
      </w:r>
      <w:r w:rsidRPr="00DF53CA">
        <w:rPr>
          <w:color w:val="323E4F" w:themeColor="text2" w:themeShade="BF"/>
          <w:sz w:val="24"/>
          <w:szCs w:val="24"/>
        </w:rPr>
        <w:t xml:space="preserve"> %</w:t>
      </w:r>
      <w:r w:rsidR="00DF53CA" w:rsidRPr="00DF53CA">
        <w:rPr>
          <w:color w:val="323E4F" w:themeColor="text2" w:themeShade="BF"/>
          <w:sz w:val="24"/>
          <w:szCs w:val="24"/>
        </w:rPr>
        <w:t xml:space="preserve"> TTC</w:t>
      </w:r>
      <w:r w:rsidRPr="00DF53CA">
        <w:rPr>
          <w:color w:val="323E4F" w:themeColor="text2" w:themeShade="BF"/>
          <w:sz w:val="24"/>
          <w:szCs w:val="24"/>
        </w:rPr>
        <w:t xml:space="preserve"> du prix de vente.</w:t>
      </w:r>
    </w:p>
    <w:p w14:paraId="3F694310" w14:textId="77777777" w:rsidR="00467AFA" w:rsidRPr="00DF53CA" w:rsidRDefault="00467AFA" w:rsidP="00391019">
      <w:pPr>
        <w:pStyle w:val="Paragraphedeliste"/>
        <w:ind w:left="284"/>
        <w:rPr>
          <w:color w:val="323E4F" w:themeColor="text2" w:themeShade="BF"/>
          <w:sz w:val="24"/>
          <w:szCs w:val="24"/>
        </w:rPr>
      </w:pPr>
    </w:p>
    <w:p w14:paraId="5AD1D871" w14:textId="24840858" w:rsidR="00467AFA" w:rsidRPr="00DF53CA" w:rsidRDefault="00467AFA" w:rsidP="00391019">
      <w:pPr>
        <w:pStyle w:val="Paragraphedeliste"/>
        <w:numPr>
          <w:ilvl w:val="0"/>
          <w:numId w:val="1"/>
        </w:numPr>
        <w:ind w:left="284"/>
        <w:rPr>
          <w:color w:val="323E4F" w:themeColor="text2" w:themeShade="BF"/>
          <w:sz w:val="24"/>
          <w:szCs w:val="24"/>
        </w:rPr>
      </w:pPr>
      <w:r w:rsidRPr="00DF53CA">
        <w:rPr>
          <w:b/>
          <w:bCs/>
          <w:color w:val="323E4F" w:themeColor="text2" w:themeShade="BF"/>
          <w:sz w:val="24"/>
          <w:szCs w:val="24"/>
          <w:u w:val="single"/>
        </w:rPr>
        <w:t xml:space="preserve">Pour un prix de vente compris entre </w:t>
      </w:r>
      <w:r w:rsidR="00391019">
        <w:rPr>
          <w:b/>
          <w:bCs/>
          <w:color w:val="323E4F" w:themeColor="text2" w:themeShade="BF"/>
          <w:sz w:val="24"/>
          <w:szCs w:val="24"/>
          <w:u w:val="single"/>
        </w:rPr>
        <w:t>150 001</w:t>
      </w:r>
      <w:r w:rsidRPr="00DF53CA">
        <w:rPr>
          <w:b/>
          <w:bCs/>
          <w:color w:val="323E4F" w:themeColor="text2" w:themeShade="BF"/>
          <w:sz w:val="24"/>
          <w:szCs w:val="24"/>
          <w:u w:val="single"/>
        </w:rPr>
        <w:t xml:space="preserve"> et </w:t>
      </w:r>
      <w:r w:rsidR="00391019">
        <w:rPr>
          <w:b/>
          <w:bCs/>
          <w:color w:val="323E4F" w:themeColor="text2" w:themeShade="BF"/>
          <w:sz w:val="24"/>
          <w:szCs w:val="24"/>
          <w:u w:val="single"/>
        </w:rPr>
        <w:t>200</w:t>
      </w:r>
      <w:r w:rsidRPr="00DF53CA">
        <w:rPr>
          <w:b/>
          <w:bCs/>
          <w:color w:val="323E4F" w:themeColor="text2" w:themeShade="BF"/>
          <w:sz w:val="24"/>
          <w:szCs w:val="24"/>
          <w:u w:val="single"/>
        </w:rPr>
        <w:t xml:space="preserve"> 000 €</w:t>
      </w:r>
      <w:r w:rsidRPr="00DF53CA">
        <w:rPr>
          <w:color w:val="323E4F" w:themeColor="text2" w:themeShade="BF"/>
          <w:sz w:val="24"/>
          <w:szCs w:val="24"/>
        </w:rPr>
        <w:t xml:space="preserve"> : </w:t>
      </w:r>
      <w:r w:rsidR="008C052F">
        <w:rPr>
          <w:color w:val="323E4F" w:themeColor="text2" w:themeShade="BF"/>
          <w:sz w:val="24"/>
          <w:szCs w:val="24"/>
        </w:rPr>
        <w:t>7</w:t>
      </w:r>
      <w:r w:rsidRPr="00DF53CA">
        <w:rPr>
          <w:color w:val="323E4F" w:themeColor="text2" w:themeShade="BF"/>
          <w:sz w:val="24"/>
          <w:szCs w:val="24"/>
        </w:rPr>
        <w:t>.</w:t>
      </w:r>
      <w:r w:rsidR="001B7914" w:rsidRPr="00DF53CA">
        <w:rPr>
          <w:color w:val="323E4F" w:themeColor="text2" w:themeShade="BF"/>
          <w:sz w:val="24"/>
          <w:szCs w:val="24"/>
        </w:rPr>
        <w:t>5</w:t>
      </w:r>
      <w:r w:rsidRPr="00DF53CA">
        <w:rPr>
          <w:color w:val="323E4F" w:themeColor="text2" w:themeShade="BF"/>
          <w:sz w:val="24"/>
          <w:szCs w:val="24"/>
        </w:rPr>
        <w:t xml:space="preserve"> %</w:t>
      </w:r>
      <w:r w:rsidR="00DF53CA" w:rsidRPr="00DF53CA">
        <w:rPr>
          <w:color w:val="323E4F" w:themeColor="text2" w:themeShade="BF"/>
          <w:sz w:val="24"/>
          <w:szCs w:val="24"/>
        </w:rPr>
        <w:t xml:space="preserve"> TTC</w:t>
      </w:r>
      <w:r w:rsidRPr="00DF53CA">
        <w:rPr>
          <w:color w:val="323E4F" w:themeColor="text2" w:themeShade="BF"/>
          <w:sz w:val="24"/>
          <w:szCs w:val="24"/>
        </w:rPr>
        <w:t xml:space="preserve"> du prix de vente.</w:t>
      </w:r>
    </w:p>
    <w:p w14:paraId="5D64899F" w14:textId="77777777" w:rsidR="00AB06F9" w:rsidRPr="00DF53CA" w:rsidRDefault="00AB06F9" w:rsidP="00391019">
      <w:pPr>
        <w:pStyle w:val="Paragraphedeliste"/>
        <w:ind w:left="284"/>
        <w:rPr>
          <w:color w:val="323E4F" w:themeColor="text2" w:themeShade="BF"/>
          <w:sz w:val="24"/>
          <w:szCs w:val="24"/>
        </w:rPr>
      </w:pPr>
    </w:p>
    <w:p w14:paraId="0E39E074" w14:textId="26B0B44F" w:rsidR="00AB06F9" w:rsidRDefault="00DF53CA" w:rsidP="00391019">
      <w:pPr>
        <w:pStyle w:val="Paragraphedeliste"/>
        <w:numPr>
          <w:ilvl w:val="0"/>
          <w:numId w:val="1"/>
        </w:numPr>
        <w:ind w:left="284"/>
        <w:rPr>
          <w:color w:val="323E4F" w:themeColor="text2" w:themeShade="BF"/>
          <w:sz w:val="24"/>
          <w:szCs w:val="24"/>
        </w:rPr>
      </w:pPr>
      <w:r w:rsidRPr="00DF53CA">
        <w:rPr>
          <w:b/>
          <w:bCs/>
          <w:color w:val="323E4F" w:themeColor="text2" w:themeShade="BF"/>
          <w:sz w:val="24"/>
          <w:szCs w:val="24"/>
          <w:u w:val="single"/>
        </w:rPr>
        <w:t xml:space="preserve">Pour un prix de vente compris entre </w:t>
      </w:r>
      <w:r w:rsidR="00391019">
        <w:rPr>
          <w:b/>
          <w:bCs/>
          <w:color w:val="323E4F" w:themeColor="text2" w:themeShade="BF"/>
          <w:sz w:val="24"/>
          <w:szCs w:val="24"/>
          <w:u w:val="single"/>
        </w:rPr>
        <w:t>200</w:t>
      </w:r>
      <w:r w:rsidRPr="00DF53CA">
        <w:rPr>
          <w:b/>
          <w:bCs/>
          <w:color w:val="323E4F" w:themeColor="text2" w:themeShade="BF"/>
          <w:sz w:val="24"/>
          <w:szCs w:val="24"/>
          <w:u w:val="single"/>
        </w:rPr>
        <w:t xml:space="preserve"> 001 et </w:t>
      </w:r>
      <w:r w:rsidR="00391019">
        <w:rPr>
          <w:b/>
          <w:bCs/>
          <w:color w:val="323E4F" w:themeColor="text2" w:themeShade="BF"/>
          <w:sz w:val="24"/>
          <w:szCs w:val="24"/>
          <w:u w:val="single"/>
        </w:rPr>
        <w:t>2</w:t>
      </w:r>
      <w:r w:rsidR="008C052F">
        <w:rPr>
          <w:b/>
          <w:bCs/>
          <w:color w:val="323E4F" w:themeColor="text2" w:themeShade="BF"/>
          <w:sz w:val="24"/>
          <w:szCs w:val="24"/>
          <w:u w:val="single"/>
        </w:rPr>
        <w:t>50</w:t>
      </w:r>
      <w:r w:rsidRPr="00DF53CA">
        <w:rPr>
          <w:b/>
          <w:bCs/>
          <w:color w:val="323E4F" w:themeColor="text2" w:themeShade="BF"/>
          <w:sz w:val="24"/>
          <w:szCs w:val="24"/>
          <w:u w:val="single"/>
        </w:rPr>
        <w:t> 000 € :</w:t>
      </w:r>
      <w:r w:rsidRPr="00DF53CA">
        <w:rPr>
          <w:b/>
          <w:bCs/>
          <w:color w:val="323E4F" w:themeColor="text2" w:themeShade="BF"/>
          <w:sz w:val="24"/>
          <w:szCs w:val="24"/>
        </w:rPr>
        <w:t xml:space="preserve"> </w:t>
      </w:r>
      <w:r w:rsidR="00391019">
        <w:rPr>
          <w:color w:val="323E4F" w:themeColor="text2" w:themeShade="BF"/>
          <w:sz w:val="24"/>
          <w:szCs w:val="24"/>
        </w:rPr>
        <w:t>7</w:t>
      </w:r>
      <w:r w:rsidRPr="00DF53CA">
        <w:rPr>
          <w:color w:val="323E4F" w:themeColor="text2" w:themeShade="BF"/>
          <w:sz w:val="24"/>
          <w:szCs w:val="24"/>
        </w:rPr>
        <w:t xml:space="preserve"> % TTC du prix de vente</w:t>
      </w:r>
      <w:r w:rsidR="00391019">
        <w:rPr>
          <w:color w:val="323E4F" w:themeColor="text2" w:themeShade="BF"/>
          <w:sz w:val="24"/>
          <w:szCs w:val="24"/>
        </w:rPr>
        <w:t>.</w:t>
      </w:r>
    </w:p>
    <w:p w14:paraId="653935CB" w14:textId="77777777" w:rsidR="008C052F" w:rsidRPr="008C052F" w:rsidRDefault="008C052F" w:rsidP="00391019">
      <w:pPr>
        <w:pStyle w:val="Paragraphedeliste"/>
        <w:ind w:left="284"/>
        <w:rPr>
          <w:color w:val="323E4F" w:themeColor="text2" w:themeShade="BF"/>
          <w:sz w:val="24"/>
          <w:szCs w:val="24"/>
        </w:rPr>
      </w:pPr>
    </w:p>
    <w:p w14:paraId="6BF9B247" w14:textId="76615AA0" w:rsidR="008C052F" w:rsidRDefault="008C052F" w:rsidP="00391019">
      <w:pPr>
        <w:pStyle w:val="Paragraphedeliste"/>
        <w:numPr>
          <w:ilvl w:val="0"/>
          <w:numId w:val="1"/>
        </w:numPr>
        <w:ind w:left="284"/>
        <w:rPr>
          <w:color w:val="323E4F" w:themeColor="text2" w:themeShade="BF"/>
          <w:sz w:val="24"/>
          <w:szCs w:val="24"/>
        </w:rPr>
      </w:pPr>
      <w:r w:rsidRPr="00DF53CA">
        <w:rPr>
          <w:b/>
          <w:bCs/>
          <w:color w:val="323E4F" w:themeColor="text2" w:themeShade="BF"/>
          <w:sz w:val="24"/>
          <w:szCs w:val="24"/>
          <w:u w:val="single"/>
        </w:rPr>
        <w:t xml:space="preserve">Pour un prix de vente compris entre </w:t>
      </w:r>
      <w:r w:rsidR="00391019">
        <w:rPr>
          <w:b/>
          <w:bCs/>
          <w:color w:val="323E4F" w:themeColor="text2" w:themeShade="BF"/>
          <w:sz w:val="24"/>
          <w:szCs w:val="24"/>
          <w:u w:val="single"/>
        </w:rPr>
        <w:t>250</w:t>
      </w:r>
      <w:r>
        <w:rPr>
          <w:b/>
          <w:bCs/>
          <w:color w:val="323E4F" w:themeColor="text2" w:themeShade="BF"/>
          <w:sz w:val="24"/>
          <w:szCs w:val="24"/>
          <w:u w:val="single"/>
        </w:rPr>
        <w:t xml:space="preserve"> 001 et </w:t>
      </w:r>
      <w:r w:rsidR="00391019">
        <w:rPr>
          <w:b/>
          <w:bCs/>
          <w:color w:val="323E4F" w:themeColor="text2" w:themeShade="BF"/>
          <w:sz w:val="24"/>
          <w:szCs w:val="24"/>
          <w:u w:val="single"/>
        </w:rPr>
        <w:t>350</w:t>
      </w:r>
      <w:r>
        <w:rPr>
          <w:b/>
          <w:bCs/>
          <w:color w:val="323E4F" w:themeColor="text2" w:themeShade="BF"/>
          <w:sz w:val="24"/>
          <w:szCs w:val="24"/>
          <w:u w:val="single"/>
        </w:rPr>
        <w:t> 000 € :</w:t>
      </w:r>
      <w:r>
        <w:rPr>
          <w:color w:val="323E4F" w:themeColor="text2" w:themeShade="BF"/>
          <w:sz w:val="24"/>
          <w:szCs w:val="24"/>
        </w:rPr>
        <w:t xml:space="preserve"> 6</w:t>
      </w:r>
      <w:r w:rsidR="00391019">
        <w:rPr>
          <w:color w:val="323E4F" w:themeColor="text2" w:themeShade="BF"/>
          <w:sz w:val="24"/>
          <w:szCs w:val="24"/>
        </w:rPr>
        <w:t xml:space="preserve">,5 </w:t>
      </w:r>
      <w:r>
        <w:rPr>
          <w:color w:val="323E4F" w:themeColor="text2" w:themeShade="BF"/>
          <w:sz w:val="24"/>
          <w:szCs w:val="24"/>
        </w:rPr>
        <w:t>% TTC</w:t>
      </w:r>
      <w:r w:rsidR="00391019">
        <w:rPr>
          <w:color w:val="323E4F" w:themeColor="text2" w:themeShade="BF"/>
          <w:sz w:val="24"/>
          <w:szCs w:val="24"/>
        </w:rPr>
        <w:t xml:space="preserve"> du prix de vente.</w:t>
      </w:r>
    </w:p>
    <w:p w14:paraId="0DC5F0AB" w14:textId="77777777" w:rsidR="00DF53CA" w:rsidRPr="00DF53CA" w:rsidRDefault="00DF53CA" w:rsidP="00391019">
      <w:pPr>
        <w:pStyle w:val="Paragraphedeliste"/>
        <w:ind w:left="284"/>
        <w:rPr>
          <w:color w:val="323E4F" w:themeColor="text2" w:themeShade="BF"/>
          <w:sz w:val="24"/>
          <w:szCs w:val="24"/>
        </w:rPr>
      </w:pPr>
    </w:p>
    <w:p w14:paraId="00F3D516" w14:textId="048B82D3" w:rsidR="0085241C" w:rsidRDefault="00DF53CA" w:rsidP="00391019">
      <w:pPr>
        <w:pStyle w:val="Paragraphedeliste"/>
        <w:numPr>
          <w:ilvl w:val="0"/>
          <w:numId w:val="1"/>
        </w:numPr>
        <w:ind w:left="284"/>
        <w:rPr>
          <w:color w:val="323E4F" w:themeColor="text2" w:themeShade="BF"/>
          <w:sz w:val="24"/>
          <w:szCs w:val="24"/>
        </w:rPr>
      </w:pPr>
      <w:r w:rsidRPr="008B07F2">
        <w:rPr>
          <w:b/>
          <w:bCs/>
          <w:color w:val="323E4F" w:themeColor="text2" w:themeShade="BF"/>
          <w:sz w:val="24"/>
          <w:szCs w:val="24"/>
          <w:u w:val="single"/>
        </w:rPr>
        <w:t>Pour un prix de vente</w:t>
      </w:r>
      <w:r w:rsidR="00391019">
        <w:rPr>
          <w:b/>
          <w:bCs/>
          <w:color w:val="323E4F" w:themeColor="text2" w:themeShade="BF"/>
          <w:sz w:val="24"/>
          <w:szCs w:val="24"/>
          <w:u w:val="single"/>
        </w:rPr>
        <w:t xml:space="preserve"> compris entre 350 001 et 500 000</w:t>
      </w:r>
      <w:r w:rsidRPr="008B07F2">
        <w:rPr>
          <w:b/>
          <w:bCs/>
          <w:color w:val="323E4F" w:themeColor="text2" w:themeShade="BF"/>
          <w:sz w:val="24"/>
          <w:szCs w:val="24"/>
          <w:u w:val="single"/>
        </w:rPr>
        <w:t xml:space="preserve"> €</w:t>
      </w:r>
      <w:r w:rsidR="008B07F2" w:rsidRPr="008B07F2">
        <w:rPr>
          <w:b/>
          <w:bCs/>
          <w:color w:val="323E4F" w:themeColor="text2" w:themeShade="BF"/>
          <w:sz w:val="24"/>
          <w:szCs w:val="24"/>
          <w:u w:val="single"/>
        </w:rPr>
        <w:t> :</w:t>
      </w:r>
      <w:r w:rsidR="008B07F2" w:rsidRPr="008B07F2">
        <w:rPr>
          <w:b/>
          <w:bCs/>
          <w:color w:val="323E4F" w:themeColor="text2" w:themeShade="BF"/>
          <w:sz w:val="24"/>
          <w:szCs w:val="24"/>
        </w:rPr>
        <w:t xml:space="preserve">  </w:t>
      </w:r>
      <w:r w:rsidR="00391019">
        <w:rPr>
          <w:color w:val="323E4F" w:themeColor="text2" w:themeShade="BF"/>
          <w:sz w:val="24"/>
          <w:szCs w:val="24"/>
        </w:rPr>
        <w:t>6</w:t>
      </w:r>
      <w:r w:rsidR="008B07F2">
        <w:rPr>
          <w:color w:val="323E4F" w:themeColor="text2" w:themeShade="BF"/>
          <w:sz w:val="24"/>
          <w:szCs w:val="24"/>
        </w:rPr>
        <w:t xml:space="preserve"> % TTC du prix de vente.</w:t>
      </w:r>
    </w:p>
    <w:p w14:paraId="2AE98939" w14:textId="77777777" w:rsidR="00391019" w:rsidRPr="00391019" w:rsidRDefault="00391019" w:rsidP="00391019">
      <w:pPr>
        <w:pStyle w:val="Paragraphedeliste"/>
        <w:rPr>
          <w:color w:val="323E4F" w:themeColor="text2" w:themeShade="BF"/>
          <w:sz w:val="24"/>
          <w:szCs w:val="24"/>
        </w:rPr>
      </w:pPr>
    </w:p>
    <w:p w14:paraId="6A35BEE7" w14:textId="701ED7FD" w:rsidR="00391019" w:rsidRDefault="00391019" w:rsidP="00391019">
      <w:pPr>
        <w:pStyle w:val="Paragraphedeliste"/>
        <w:numPr>
          <w:ilvl w:val="0"/>
          <w:numId w:val="1"/>
        </w:numPr>
        <w:ind w:left="284"/>
        <w:rPr>
          <w:color w:val="323E4F" w:themeColor="text2" w:themeShade="BF"/>
          <w:sz w:val="24"/>
          <w:szCs w:val="24"/>
        </w:rPr>
      </w:pPr>
      <w:r w:rsidRPr="00391019">
        <w:rPr>
          <w:b/>
          <w:bCs/>
          <w:color w:val="323E4F" w:themeColor="text2" w:themeShade="BF"/>
          <w:sz w:val="24"/>
          <w:szCs w:val="24"/>
          <w:u w:val="single"/>
        </w:rPr>
        <w:t>Pour un prix de vente supérieur à 500 000 €</w:t>
      </w:r>
      <w:r>
        <w:rPr>
          <w:color w:val="323E4F" w:themeColor="text2" w:themeShade="BF"/>
          <w:sz w:val="24"/>
          <w:szCs w:val="24"/>
        </w:rPr>
        <w:t> : 5% TTC du prix de vente.</w:t>
      </w:r>
    </w:p>
    <w:p w14:paraId="3CA3704E" w14:textId="77777777" w:rsidR="00505B4E" w:rsidRPr="00505B4E" w:rsidRDefault="00505B4E" w:rsidP="00505B4E">
      <w:pPr>
        <w:pStyle w:val="Paragraphedeliste"/>
        <w:rPr>
          <w:color w:val="323E4F" w:themeColor="text2" w:themeShade="BF"/>
          <w:sz w:val="24"/>
          <w:szCs w:val="24"/>
        </w:rPr>
      </w:pPr>
    </w:p>
    <w:p w14:paraId="6A50E664" w14:textId="77777777" w:rsidR="00505B4E" w:rsidRPr="0085241C" w:rsidRDefault="00505B4E" w:rsidP="00505B4E">
      <w:pPr>
        <w:pStyle w:val="Paragraphedeliste"/>
        <w:ind w:left="284"/>
        <w:rPr>
          <w:color w:val="323E4F" w:themeColor="text2" w:themeShade="BF"/>
          <w:sz w:val="24"/>
          <w:szCs w:val="24"/>
        </w:rPr>
      </w:pPr>
    </w:p>
    <w:p w14:paraId="4247622F" w14:textId="4F85DD8D" w:rsidR="008B07F2" w:rsidRPr="00106795" w:rsidRDefault="008B07F2" w:rsidP="008B07F2">
      <w:pPr>
        <w:jc w:val="both"/>
        <w:rPr>
          <w:color w:val="323E4F" w:themeColor="text2" w:themeShade="BF"/>
        </w:rPr>
      </w:pPr>
      <w:r w:rsidRPr="00106795">
        <w:rPr>
          <w:b/>
          <w:bCs/>
          <w:color w:val="323E4F" w:themeColor="text2" w:themeShade="BF"/>
          <w:u w:val="single"/>
        </w:rPr>
        <w:t>Principe du non cumul :</w:t>
      </w:r>
      <w:r w:rsidRPr="00106795">
        <w:rPr>
          <w:color w:val="323E4F" w:themeColor="text2" w:themeShade="BF"/>
        </w:rPr>
        <w:t xml:space="preserve"> l’application des honoraires prévus pour une tranche de prix est exclusive des autres tranches.</w:t>
      </w:r>
      <w:r w:rsidR="00505B4E">
        <w:rPr>
          <w:color w:val="323E4F" w:themeColor="text2" w:themeShade="BF"/>
        </w:rPr>
        <w:t xml:space="preserve"> </w:t>
      </w:r>
      <w:proofErr w:type="gramStart"/>
      <w:r w:rsidR="00B60062" w:rsidRPr="00106795">
        <w:rPr>
          <w:color w:val="323E4F" w:themeColor="text2" w:themeShade="BF"/>
        </w:rPr>
        <w:t>Nos</w:t>
      </w:r>
      <w:proofErr w:type="gramEnd"/>
      <w:r w:rsidR="00B60062" w:rsidRPr="00106795">
        <w:rPr>
          <w:color w:val="323E4F" w:themeColor="text2" w:themeShade="BF"/>
        </w:rPr>
        <w:t xml:space="preserve"> honoraires sont calculés sur le prix de vente du bien.</w:t>
      </w:r>
    </w:p>
    <w:p w14:paraId="4FBFA8C3" w14:textId="080A1980" w:rsidR="001B50A4" w:rsidRPr="00106795" w:rsidRDefault="008B07F2" w:rsidP="001B50A4">
      <w:pPr>
        <w:jc w:val="both"/>
        <w:rPr>
          <w:color w:val="323E4F" w:themeColor="text2" w:themeShade="BF"/>
        </w:rPr>
      </w:pPr>
      <w:r w:rsidRPr="00106795">
        <w:rPr>
          <w:color w:val="323E4F" w:themeColor="text2" w:themeShade="BF"/>
        </w:rPr>
        <w:t>Nos honoraires sont immédiatement exigibles le jour où la vente est effectivement conclue et constatée dans un seul acte écrit contenant l’engagement des parties. Le redevable des honoraires est le Mandant</w:t>
      </w:r>
      <w:r w:rsidR="001B50A4" w:rsidRPr="00106795">
        <w:rPr>
          <w:color w:val="323E4F" w:themeColor="text2" w:themeShade="BF"/>
        </w:rPr>
        <w:t xml:space="preserve"> </w:t>
      </w:r>
      <w:r w:rsidRPr="00106795">
        <w:rPr>
          <w:color w:val="323E4F" w:themeColor="text2" w:themeShade="BF"/>
        </w:rPr>
        <w:t>(vendeur) sauf disposition contraire du mandat.</w:t>
      </w:r>
    </w:p>
    <w:p w14:paraId="48F0C9CB" w14:textId="3DE211EE" w:rsidR="008B07F2" w:rsidRPr="00106795" w:rsidRDefault="008B07F2" w:rsidP="008B07F2">
      <w:pPr>
        <w:jc w:val="both"/>
        <w:rPr>
          <w:color w:val="323E4F" w:themeColor="text2" w:themeShade="BF"/>
        </w:rPr>
      </w:pPr>
      <w:r w:rsidRPr="00106795">
        <w:rPr>
          <w:b/>
          <w:bCs/>
          <w:color w:val="323E4F" w:themeColor="text2" w:themeShade="BF"/>
          <w:u w:val="single"/>
        </w:rPr>
        <w:t>Coût d’un avis de valeur</w:t>
      </w:r>
      <w:r w:rsidRPr="00106795">
        <w:rPr>
          <w:color w:val="323E4F" w:themeColor="text2" w:themeShade="BF"/>
        </w:rPr>
        <w:t> : 300 € TTC (rappel un avis de valeur ne constitue pas une expertise).</w:t>
      </w:r>
    </w:p>
    <w:p w14:paraId="1108D7E4" w14:textId="6052D26A" w:rsidR="008B07F2" w:rsidRPr="00106795" w:rsidRDefault="00A96255" w:rsidP="008B07F2">
      <w:pPr>
        <w:jc w:val="both"/>
        <w:rPr>
          <w:color w:val="323E4F" w:themeColor="text2" w:themeShade="BF"/>
        </w:rPr>
      </w:pPr>
      <w:r w:rsidRPr="00106795">
        <w:rPr>
          <w:color w:val="323E4F" w:themeColor="text2" w:themeShade="BF"/>
        </w:rPr>
        <w:t>En cas de délégation de mandat les honoraires applicables sont ceux de l’agence en possession du mandat initial.</w:t>
      </w:r>
    </w:p>
    <w:sectPr w:rsidR="008B07F2" w:rsidRPr="0010679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8266" w14:textId="77777777" w:rsidR="007501B7" w:rsidRDefault="007501B7" w:rsidP="000B7F5A">
      <w:pPr>
        <w:spacing w:after="0" w:line="240" w:lineRule="auto"/>
      </w:pPr>
      <w:r>
        <w:separator/>
      </w:r>
    </w:p>
  </w:endnote>
  <w:endnote w:type="continuationSeparator" w:id="0">
    <w:p w14:paraId="3AFCBA51" w14:textId="77777777" w:rsidR="007501B7" w:rsidRDefault="007501B7" w:rsidP="000B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65E0" w14:textId="77777777" w:rsidR="00505B4E" w:rsidRPr="000B7F5A" w:rsidRDefault="00505B4E" w:rsidP="00505B4E">
    <w:pPr>
      <w:jc w:val="both"/>
      <w:rPr>
        <w:b/>
        <w:bCs/>
        <w:i/>
        <w:iCs/>
        <w:color w:val="323E4F" w:themeColor="text2" w:themeShade="BF"/>
        <w:sz w:val="20"/>
        <w:szCs w:val="20"/>
      </w:rPr>
    </w:pPr>
    <w:r w:rsidRPr="000B7F5A">
      <w:rPr>
        <w:b/>
        <w:bCs/>
        <w:i/>
        <w:iCs/>
        <w:color w:val="323E4F" w:themeColor="text2" w:themeShade="BF"/>
        <w:sz w:val="20"/>
        <w:szCs w:val="20"/>
      </w:rPr>
      <w:t>Société ADL IMMOBILIER SAS au capital de 627 009 €- Siège social : 22 bis avenue Honoré Serres 31000 TOULOUSE- RCS TOULOUSE N°301169116 – Carte professionnelle Transactions sur immeubles et fonds de commerce n°31012018000036193 délivré par TOULOUSE. Garant : GALIAN,89 rue de la Boétie 75008 PARIS.</w:t>
    </w:r>
    <w:r>
      <w:rPr>
        <w:b/>
        <w:bCs/>
        <w:i/>
        <w:iCs/>
        <w:color w:val="323E4F" w:themeColor="text2" w:themeShade="BF"/>
        <w:sz w:val="20"/>
        <w:szCs w:val="20"/>
      </w:rPr>
      <w:t xml:space="preserve"> TVA intracommunautaire FR 84 301 169 116 00169</w:t>
    </w:r>
  </w:p>
  <w:p w14:paraId="0FD20CBF" w14:textId="77777777" w:rsidR="00505B4E" w:rsidRDefault="00505B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1292E" w14:textId="77777777" w:rsidR="007501B7" w:rsidRDefault="007501B7" w:rsidP="000B7F5A">
      <w:pPr>
        <w:spacing w:after="0" w:line="240" w:lineRule="auto"/>
      </w:pPr>
      <w:r>
        <w:separator/>
      </w:r>
    </w:p>
  </w:footnote>
  <w:footnote w:type="continuationSeparator" w:id="0">
    <w:p w14:paraId="16813B8C" w14:textId="77777777" w:rsidR="007501B7" w:rsidRDefault="007501B7" w:rsidP="000B7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0349E"/>
    <w:multiLevelType w:val="hybridMultilevel"/>
    <w:tmpl w:val="ABE4F7E6"/>
    <w:lvl w:ilvl="0" w:tplc="E3805ED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61"/>
    <w:rsid w:val="0008376A"/>
    <w:rsid w:val="00084E61"/>
    <w:rsid w:val="000B7F5A"/>
    <w:rsid w:val="000D3749"/>
    <w:rsid w:val="00106795"/>
    <w:rsid w:val="001233CE"/>
    <w:rsid w:val="001555F5"/>
    <w:rsid w:val="00174559"/>
    <w:rsid w:val="001B50A4"/>
    <w:rsid w:val="001B7914"/>
    <w:rsid w:val="001F798C"/>
    <w:rsid w:val="002F76AF"/>
    <w:rsid w:val="00322865"/>
    <w:rsid w:val="003426D9"/>
    <w:rsid w:val="00391019"/>
    <w:rsid w:val="004241CA"/>
    <w:rsid w:val="00467AFA"/>
    <w:rsid w:val="00480F69"/>
    <w:rsid w:val="00505B4E"/>
    <w:rsid w:val="00682FB1"/>
    <w:rsid w:val="007501B7"/>
    <w:rsid w:val="00755F73"/>
    <w:rsid w:val="007F2BC6"/>
    <w:rsid w:val="0085241C"/>
    <w:rsid w:val="008809D9"/>
    <w:rsid w:val="00890C17"/>
    <w:rsid w:val="008B07F2"/>
    <w:rsid w:val="008C052F"/>
    <w:rsid w:val="008F4A9C"/>
    <w:rsid w:val="00954F90"/>
    <w:rsid w:val="00A92E09"/>
    <w:rsid w:val="00A96255"/>
    <w:rsid w:val="00AB06F9"/>
    <w:rsid w:val="00AF1A0E"/>
    <w:rsid w:val="00B131E5"/>
    <w:rsid w:val="00B60062"/>
    <w:rsid w:val="00B969EA"/>
    <w:rsid w:val="00C04008"/>
    <w:rsid w:val="00DE45CE"/>
    <w:rsid w:val="00DE7A92"/>
    <w:rsid w:val="00DF53CA"/>
    <w:rsid w:val="00E1159D"/>
    <w:rsid w:val="00F642CB"/>
    <w:rsid w:val="00FB45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B0AA"/>
  <w15:chartTrackingRefBased/>
  <w15:docId w15:val="{43637167-A7E7-4DD8-BC78-FE21E492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7AFA"/>
    <w:pPr>
      <w:ind w:left="720"/>
      <w:contextualSpacing/>
    </w:pPr>
  </w:style>
  <w:style w:type="paragraph" w:styleId="En-tte">
    <w:name w:val="header"/>
    <w:basedOn w:val="Normal"/>
    <w:link w:val="En-tteCar"/>
    <w:uiPriority w:val="99"/>
    <w:unhideWhenUsed/>
    <w:rsid w:val="000B7F5A"/>
    <w:pPr>
      <w:tabs>
        <w:tab w:val="center" w:pos="4536"/>
        <w:tab w:val="right" w:pos="9072"/>
      </w:tabs>
      <w:spacing w:after="0" w:line="240" w:lineRule="auto"/>
    </w:pPr>
  </w:style>
  <w:style w:type="character" w:customStyle="1" w:styleId="En-tteCar">
    <w:name w:val="En-tête Car"/>
    <w:basedOn w:val="Policepardfaut"/>
    <w:link w:val="En-tte"/>
    <w:uiPriority w:val="99"/>
    <w:rsid w:val="000B7F5A"/>
  </w:style>
  <w:style w:type="paragraph" w:styleId="Pieddepage">
    <w:name w:val="footer"/>
    <w:basedOn w:val="Normal"/>
    <w:link w:val="PieddepageCar"/>
    <w:uiPriority w:val="99"/>
    <w:unhideWhenUsed/>
    <w:rsid w:val="000B7F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7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7061D.30E6F6A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248</Words>
  <Characters>1370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GOBBO</dc:creator>
  <cp:keywords/>
  <dc:description/>
  <cp:lastModifiedBy>Fabien GOBBO</cp:lastModifiedBy>
  <cp:revision>2</cp:revision>
  <cp:lastPrinted>2021-11-05T14:58:00Z</cp:lastPrinted>
  <dcterms:created xsi:type="dcterms:W3CDTF">2021-11-05T15:08:00Z</dcterms:created>
  <dcterms:modified xsi:type="dcterms:W3CDTF">2021-11-05T15:08:00Z</dcterms:modified>
</cp:coreProperties>
</file>