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366A" w14:textId="3193A44F" w:rsidR="00084E61" w:rsidRDefault="00084E61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AA751EE" wp14:editId="6C79C5E4">
            <wp:simplePos x="0" y="0"/>
            <wp:positionH relativeFrom="margin">
              <wp:posOffset>1281430</wp:posOffset>
            </wp:positionH>
            <wp:positionV relativeFrom="paragraph">
              <wp:posOffset>-633095</wp:posOffset>
            </wp:positionV>
            <wp:extent cx="3152775" cy="12858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AF70B" w14:textId="2BF2BE8A" w:rsidR="00084E61" w:rsidRDefault="00084E61" w:rsidP="001233CE">
      <w:pPr>
        <w:spacing w:line="240" w:lineRule="auto"/>
      </w:pPr>
    </w:p>
    <w:p w14:paraId="1A848BE0" w14:textId="77777777" w:rsidR="00663CF8" w:rsidRDefault="00663CF8" w:rsidP="001233CE">
      <w:pPr>
        <w:spacing w:line="240" w:lineRule="auto"/>
      </w:pPr>
    </w:p>
    <w:p w14:paraId="69B9A5D0" w14:textId="49652DF1" w:rsidR="00D71F74" w:rsidRDefault="00084E61" w:rsidP="00663CF8">
      <w:pPr>
        <w:jc w:val="center"/>
        <w:rPr>
          <w:b/>
          <w:bCs/>
          <w:color w:val="323E4F" w:themeColor="text2" w:themeShade="BF"/>
          <w:sz w:val="40"/>
          <w:szCs w:val="40"/>
        </w:rPr>
      </w:pPr>
      <w:r w:rsidRPr="00D71F74">
        <w:rPr>
          <w:b/>
          <w:bCs/>
          <w:color w:val="323E4F" w:themeColor="text2" w:themeShade="BF"/>
          <w:sz w:val="40"/>
          <w:szCs w:val="40"/>
        </w:rPr>
        <w:t>BAREME DES HONORAIRES DE L’AGENCE ADL IMMOBILIER</w:t>
      </w:r>
    </w:p>
    <w:p w14:paraId="49A04034" w14:textId="77777777" w:rsidR="00663CF8" w:rsidRPr="00663CF8" w:rsidRDefault="00663CF8" w:rsidP="00663CF8">
      <w:pPr>
        <w:jc w:val="center"/>
        <w:rPr>
          <w:b/>
          <w:bCs/>
          <w:color w:val="323E4F" w:themeColor="text2" w:themeShade="BF"/>
          <w:sz w:val="40"/>
          <w:szCs w:val="40"/>
        </w:rPr>
      </w:pPr>
    </w:p>
    <w:p w14:paraId="0477C082" w14:textId="77777777" w:rsidR="00663CF8" w:rsidRDefault="00084E61" w:rsidP="00084E61">
      <w:pPr>
        <w:jc w:val="center"/>
        <w:rPr>
          <w:b/>
          <w:bCs/>
          <w:color w:val="323E4F" w:themeColor="text2" w:themeShade="BF"/>
          <w:sz w:val="36"/>
          <w:szCs w:val="36"/>
        </w:rPr>
      </w:pPr>
      <w:r w:rsidRPr="000B7F5A">
        <w:rPr>
          <w:b/>
          <w:bCs/>
          <w:color w:val="323E4F" w:themeColor="text2" w:themeShade="BF"/>
          <w:sz w:val="36"/>
          <w:szCs w:val="36"/>
        </w:rPr>
        <w:t>SERVICE TRANSACTION VENTE</w:t>
      </w:r>
    </w:p>
    <w:p w14:paraId="23B04694" w14:textId="75B3D7A6" w:rsidR="00084E61" w:rsidRDefault="00D71F74" w:rsidP="00663CF8">
      <w:pPr>
        <w:jc w:val="center"/>
        <w:rPr>
          <w:b/>
          <w:bCs/>
          <w:color w:val="323E4F" w:themeColor="text2" w:themeShade="BF"/>
          <w:sz w:val="36"/>
          <w:szCs w:val="36"/>
        </w:rPr>
      </w:pPr>
      <w:r>
        <w:rPr>
          <w:b/>
          <w:bCs/>
          <w:color w:val="323E4F" w:themeColor="text2" w:themeShade="BF"/>
          <w:sz w:val="36"/>
          <w:szCs w:val="36"/>
        </w:rPr>
        <w:t xml:space="preserve">BAREME SPECIFIQUE AUX PROFESSIONNELS DE L’IMMOBILIER </w:t>
      </w:r>
    </w:p>
    <w:p w14:paraId="4A1664BA" w14:textId="77777777" w:rsidR="00D71F74" w:rsidRPr="000B7F5A" w:rsidRDefault="00D71F74" w:rsidP="00084E61">
      <w:pPr>
        <w:jc w:val="center"/>
        <w:rPr>
          <w:b/>
          <w:bCs/>
          <w:color w:val="323E4F" w:themeColor="text2" w:themeShade="BF"/>
          <w:sz w:val="36"/>
          <w:szCs w:val="36"/>
        </w:rPr>
      </w:pPr>
    </w:p>
    <w:p w14:paraId="0C02783C" w14:textId="36AA970E" w:rsidR="00084E61" w:rsidRDefault="00084E61" w:rsidP="00084E61">
      <w:pPr>
        <w:jc w:val="center"/>
        <w:rPr>
          <w:b/>
          <w:bCs/>
          <w:color w:val="323E4F" w:themeColor="text2" w:themeShade="BF"/>
          <w:sz w:val="28"/>
          <w:szCs w:val="28"/>
        </w:rPr>
      </w:pPr>
      <w:r w:rsidRPr="00084E61">
        <w:rPr>
          <w:b/>
          <w:bCs/>
          <w:color w:val="323E4F" w:themeColor="text2" w:themeShade="BF"/>
          <w:sz w:val="28"/>
          <w:szCs w:val="28"/>
        </w:rPr>
        <w:t>Tarifs applicable</w:t>
      </w:r>
      <w:r w:rsidR="00717CAF">
        <w:rPr>
          <w:b/>
          <w:bCs/>
          <w:color w:val="323E4F" w:themeColor="text2" w:themeShade="BF"/>
          <w:sz w:val="28"/>
          <w:szCs w:val="28"/>
        </w:rPr>
        <w:t>s</w:t>
      </w:r>
      <w:r w:rsidRPr="00084E61">
        <w:rPr>
          <w:b/>
          <w:bCs/>
          <w:color w:val="323E4F" w:themeColor="text2" w:themeShade="BF"/>
          <w:sz w:val="28"/>
          <w:szCs w:val="28"/>
        </w:rPr>
        <w:t xml:space="preserve"> au </w:t>
      </w:r>
      <w:r w:rsidR="00717CAF">
        <w:rPr>
          <w:b/>
          <w:bCs/>
          <w:color w:val="323E4F" w:themeColor="text2" w:themeShade="BF"/>
          <w:sz w:val="28"/>
          <w:szCs w:val="28"/>
        </w:rPr>
        <w:t>03/06/2021</w:t>
      </w:r>
    </w:p>
    <w:p w14:paraId="73332478" w14:textId="77777777" w:rsidR="00663CF8" w:rsidRDefault="00663CF8" w:rsidP="00663CF8">
      <w:pPr>
        <w:jc w:val="both"/>
        <w:rPr>
          <w:color w:val="323E4F" w:themeColor="text2" w:themeShade="BF"/>
          <w:sz w:val="24"/>
          <w:szCs w:val="24"/>
        </w:rPr>
      </w:pPr>
    </w:p>
    <w:p w14:paraId="3C68A14B" w14:textId="32C736A9" w:rsidR="00717CAF" w:rsidRPr="00DF53CA" w:rsidRDefault="00717CAF" w:rsidP="00717CAF">
      <w:pPr>
        <w:pStyle w:val="Paragraphedeliste"/>
        <w:numPr>
          <w:ilvl w:val="0"/>
          <w:numId w:val="1"/>
        </w:numPr>
        <w:rPr>
          <w:color w:val="323E4F" w:themeColor="text2" w:themeShade="BF"/>
          <w:sz w:val="24"/>
          <w:szCs w:val="24"/>
        </w:rPr>
      </w:pPr>
      <w:r w:rsidRPr="001B50A4">
        <w:rPr>
          <w:b/>
          <w:bCs/>
          <w:color w:val="323E4F" w:themeColor="text2" w:themeShade="BF"/>
          <w:sz w:val="24"/>
          <w:szCs w:val="24"/>
          <w:u w:val="single"/>
        </w:rPr>
        <w:t xml:space="preserve">Pour un prix de vente </w:t>
      </w:r>
      <w:r w:rsidRPr="001B50A4">
        <w:rPr>
          <w:b/>
          <w:bCs/>
          <w:color w:val="323E4F" w:themeColor="text2" w:themeShade="BF"/>
          <w:sz w:val="24"/>
          <w:szCs w:val="24"/>
          <w:u w:val="single"/>
        </w:rPr>
        <w:t xml:space="preserve">de </w:t>
      </w:r>
      <w:r>
        <w:rPr>
          <w:b/>
          <w:bCs/>
          <w:color w:val="323E4F" w:themeColor="text2" w:themeShade="BF"/>
          <w:sz w:val="24"/>
          <w:szCs w:val="24"/>
          <w:u w:val="single"/>
        </w:rPr>
        <w:t xml:space="preserve">0 </w:t>
      </w:r>
      <w:r w:rsidRPr="001B50A4">
        <w:rPr>
          <w:b/>
          <w:bCs/>
          <w:color w:val="323E4F" w:themeColor="text2" w:themeShade="BF"/>
          <w:sz w:val="24"/>
          <w:szCs w:val="24"/>
          <w:u w:val="single"/>
        </w:rPr>
        <w:t xml:space="preserve">€ à </w:t>
      </w:r>
      <w:r>
        <w:rPr>
          <w:b/>
          <w:bCs/>
          <w:color w:val="323E4F" w:themeColor="text2" w:themeShade="BF"/>
          <w:sz w:val="24"/>
          <w:szCs w:val="24"/>
          <w:u w:val="single"/>
        </w:rPr>
        <w:t>400 000</w:t>
      </w:r>
      <w:r w:rsidRPr="001B50A4">
        <w:rPr>
          <w:b/>
          <w:bCs/>
          <w:color w:val="323E4F" w:themeColor="text2" w:themeShade="BF"/>
          <w:sz w:val="24"/>
          <w:szCs w:val="24"/>
          <w:u w:val="single"/>
        </w:rPr>
        <w:t xml:space="preserve"> €</w:t>
      </w:r>
      <w:r>
        <w:rPr>
          <w:color w:val="323E4F" w:themeColor="text2" w:themeShade="BF"/>
          <w:sz w:val="24"/>
          <w:szCs w:val="24"/>
        </w:rPr>
        <w:t xml:space="preserve"> : </w:t>
      </w:r>
      <w:r>
        <w:rPr>
          <w:color w:val="323E4F" w:themeColor="text2" w:themeShade="BF"/>
          <w:sz w:val="24"/>
          <w:szCs w:val="24"/>
        </w:rPr>
        <w:t>6</w:t>
      </w:r>
      <w:r w:rsidRPr="00DF53CA">
        <w:rPr>
          <w:color w:val="323E4F" w:themeColor="text2" w:themeShade="BF"/>
          <w:sz w:val="24"/>
          <w:szCs w:val="24"/>
        </w:rPr>
        <w:t xml:space="preserve"> % TTC du prix de vente</w:t>
      </w:r>
      <w:r>
        <w:rPr>
          <w:color w:val="323E4F" w:themeColor="text2" w:themeShade="BF"/>
          <w:sz w:val="24"/>
          <w:szCs w:val="24"/>
        </w:rPr>
        <w:t>.</w:t>
      </w:r>
    </w:p>
    <w:p w14:paraId="1500943D" w14:textId="77777777" w:rsidR="00717CAF" w:rsidRPr="00DF53CA" w:rsidRDefault="00717CAF" w:rsidP="00717CAF">
      <w:pPr>
        <w:pStyle w:val="Paragraphedeliste"/>
        <w:rPr>
          <w:color w:val="323E4F" w:themeColor="text2" w:themeShade="BF"/>
          <w:sz w:val="24"/>
          <w:szCs w:val="24"/>
        </w:rPr>
      </w:pPr>
    </w:p>
    <w:p w14:paraId="5243A168" w14:textId="446869D7" w:rsidR="00717CAF" w:rsidRPr="00DF53CA" w:rsidRDefault="00717CAF" w:rsidP="00717CAF">
      <w:pPr>
        <w:pStyle w:val="Paragraphedeliste"/>
        <w:numPr>
          <w:ilvl w:val="0"/>
          <w:numId w:val="1"/>
        </w:numPr>
        <w:rPr>
          <w:color w:val="323E4F" w:themeColor="text2" w:themeShade="BF"/>
          <w:sz w:val="24"/>
          <w:szCs w:val="24"/>
        </w:rPr>
      </w:pPr>
      <w:r w:rsidRPr="00DF53CA">
        <w:rPr>
          <w:b/>
          <w:bCs/>
          <w:color w:val="323E4F" w:themeColor="text2" w:themeShade="BF"/>
          <w:sz w:val="24"/>
          <w:szCs w:val="24"/>
          <w:u w:val="single"/>
        </w:rPr>
        <w:t>Pour un prix de vente</w:t>
      </w:r>
      <w:r>
        <w:rPr>
          <w:b/>
          <w:bCs/>
          <w:color w:val="323E4F" w:themeColor="text2" w:themeShade="BF"/>
          <w:sz w:val="24"/>
          <w:szCs w:val="24"/>
          <w:u w:val="single"/>
        </w:rPr>
        <w:t xml:space="preserve"> à partir de 400 001 € </w:t>
      </w:r>
      <w:r w:rsidRPr="00DF53CA">
        <w:rPr>
          <w:color w:val="323E4F" w:themeColor="text2" w:themeShade="BF"/>
          <w:sz w:val="24"/>
          <w:szCs w:val="24"/>
        </w:rPr>
        <w:t xml:space="preserve">: </w:t>
      </w:r>
      <w:r>
        <w:rPr>
          <w:color w:val="323E4F" w:themeColor="text2" w:themeShade="BF"/>
          <w:sz w:val="24"/>
          <w:szCs w:val="24"/>
        </w:rPr>
        <w:t xml:space="preserve">5 </w:t>
      </w:r>
      <w:r w:rsidRPr="00DF53CA">
        <w:rPr>
          <w:color w:val="323E4F" w:themeColor="text2" w:themeShade="BF"/>
          <w:sz w:val="24"/>
          <w:szCs w:val="24"/>
        </w:rPr>
        <w:t>% TTC du prix de vente.</w:t>
      </w:r>
    </w:p>
    <w:p w14:paraId="4D0AA1EC" w14:textId="77777777" w:rsidR="00663CF8" w:rsidRDefault="00663CF8" w:rsidP="00663CF8">
      <w:pPr>
        <w:jc w:val="both"/>
        <w:rPr>
          <w:color w:val="323E4F" w:themeColor="text2" w:themeShade="BF"/>
          <w:sz w:val="24"/>
          <w:szCs w:val="24"/>
        </w:rPr>
      </w:pPr>
    </w:p>
    <w:p w14:paraId="478E7CD1" w14:textId="328F742B" w:rsidR="008B07F2" w:rsidRDefault="00717CAF" w:rsidP="00663CF8">
      <w:pPr>
        <w:jc w:val="both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Ce barème s’applique à l’ensemble des biens immobiliers à vendre (appartements, celliers</w:t>
      </w:r>
      <w:r w:rsidR="00663CF8">
        <w:rPr>
          <w:color w:val="323E4F" w:themeColor="text2" w:themeShade="BF"/>
          <w:sz w:val="24"/>
          <w:szCs w:val="24"/>
        </w:rPr>
        <w:t xml:space="preserve"> cave</w:t>
      </w:r>
      <w:r>
        <w:rPr>
          <w:color w:val="323E4F" w:themeColor="text2" w:themeShade="BF"/>
          <w:sz w:val="24"/>
          <w:szCs w:val="24"/>
        </w:rPr>
        <w:t>s</w:t>
      </w:r>
      <w:r w:rsidR="00663CF8">
        <w:rPr>
          <w:color w:val="323E4F" w:themeColor="text2" w:themeShade="BF"/>
          <w:sz w:val="24"/>
          <w:szCs w:val="24"/>
        </w:rPr>
        <w:t>, parking</w:t>
      </w:r>
      <w:r>
        <w:rPr>
          <w:color w:val="323E4F" w:themeColor="text2" w:themeShade="BF"/>
          <w:sz w:val="24"/>
          <w:szCs w:val="24"/>
        </w:rPr>
        <w:t>s</w:t>
      </w:r>
      <w:r w:rsidR="00663CF8">
        <w:rPr>
          <w:color w:val="323E4F" w:themeColor="text2" w:themeShade="BF"/>
          <w:sz w:val="24"/>
          <w:szCs w:val="24"/>
        </w:rPr>
        <w:t>, garage et terrain</w:t>
      </w:r>
      <w:r>
        <w:rPr>
          <w:color w:val="323E4F" w:themeColor="text2" w:themeShade="BF"/>
          <w:sz w:val="24"/>
          <w:szCs w:val="24"/>
        </w:rPr>
        <w:t>s</w:t>
      </w:r>
      <w:r w:rsidR="00663CF8">
        <w:rPr>
          <w:color w:val="323E4F" w:themeColor="text2" w:themeShade="BF"/>
          <w:sz w:val="24"/>
          <w:szCs w:val="24"/>
        </w:rPr>
        <w:t xml:space="preserve"> à bâtir).</w:t>
      </w:r>
    </w:p>
    <w:p w14:paraId="04DE3293" w14:textId="77777777" w:rsidR="00D71F74" w:rsidRPr="00D71F74" w:rsidRDefault="00D71F74" w:rsidP="00663CF8">
      <w:pPr>
        <w:jc w:val="both"/>
        <w:rPr>
          <w:color w:val="323E4F" w:themeColor="text2" w:themeShade="BF"/>
          <w:sz w:val="24"/>
          <w:szCs w:val="24"/>
        </w:rPr>
      </w:pPr>
    </w:p>
    <w:p w14:paraId="4E8728B9" w14:textId="77777777" w:rsidR="00717CAF" w:rsidRDefault="008B07F2" w:rsidP="00663CF8">
      <w:pPr>
        <w:jc w:val="both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 xml:space="preserve">Nos honoraires sont immédiatement exigibles le jour où la vente est effectivement conclue et constatée dans un seul acte écrit contenant l’engagement des parties. </w:t>
      </w:r>
    </w:p>
    <w:p w14:paraId="47166F1A" w14:textId="77777777" w:rsidR="00717CAF" w:rsidRDefault="00717CAF" w:rsidP="00663CF8">
      <w:pPr>
        <w:jc w:val="both"/>
        <w:rPr>
          <w:color w:val="323E4F" w:themeColor="text2" w:themeShade="BF"/>
          <w:sz w:val="24"/>
          <w:szCs w:val="24"/>
        </w:rPr>
      </w:pPr>
    </w:p>
    <w:p w14:paraId="59880ED8" w14:textId="1C681F98" w:rsidR="008B07F2" w:rsidRDefault="008B07F2" w:rsidP="00663CF8">
      <w:pPr>
        <w:jc w:val="both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Le redevable des honoraires est le Mandant(vendeur) sauf disposition contraire du mandat.</w:t>
      </w:r>
    </w:p>
    <w:p w14:paraId="095FA09D" w14:textId="77777777" w:rsidR="00717CAF" w:rsidRDefault="00717CAF" w:rsidP="00717CAF">
      <w:pPr>
        <w:jc w:val="both"/>
        <w:rPr>
          <w:color w:val="323E4F" w:themeColor="text2" w:themeShade="BF"/>
          <w:sz w:val="24"/>
          <w:szCs w:val="24"/>
        </w:rPr>
      </w:pPr>
      <w:r>
        <w:rPr>
          <w:color w:val="323E4F" w:themeColor="text2" w:themeShade="BF"/>
          <w:sz w:val="24"/>
          <w:szCs w:val="24"/>
        </w:rPr>
        <w:t>En cas de délégation de mandat les honoraires applicables sont ceux de l’agence en possession du mandat initial.</w:t>
      </w:r>
    </w:p>
    <w:p w14:paraId="6190C197" w14:textId="77777777" w:rsidR="00717CAF" w:rsidRDefault="00717CAF" w:rsidP="00663CF8">
      <w:pPr>
        <w:jc w:val="both"/>
        <w:rPr>
          <w:color w:val="323E4F" w:themeColor="text2" w:themeShade="BF"/>
          <w:sz w:val="24"/>
          <w:szCs w:val="24"/>
        </w:rPr>
      </w:pPr>
    </w:p>
    <w:p w14:paraId="1108D7E4" w14:textId="77777777" w:rsidR="008B07F2" w:rsidRDefault="008B07F2" w:rsidP="008B07F2">
      <w:pPr>
        <w:jc w:val="both"/>
        <w:rPr>
          <w:color w:val="323E4F" w:themeColor="text2" w:themeShade="BF"/>
          <w:sz w:val="24"/>
          <w:szCs w:val="24"/>
        </w:rPr>
      </w:pPr>
    </w:p>
    <w:p w14:paraId="4795115B" w14:textId="77777777" w:rsidR="00467AFA" w:rsidRPr="00467AFA" w:rsidRDefault="00467AFA" w:rsidP="00467AFA">
      <w:pPr>
        <w:rPr>
          <w:color w:val="323E4F" w:themeColor="text2" w:themeShade="BF"/>
          <w:sz w:val="28"/>
          <w:szCs w:val="28"/>
        </w:rPr>
      </w:pPr>
    </w:p>
    <w:sectPr w:rsidR="00467AFA" w:rsidRPr="00467A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E5FF" w14:textId="77777777" w:rsidR="00CB5FE5" w:rsidRDefault="00CB5FE5" w:rsidP="000B7F5A">
      <w:pPr>
        <w:spacing w:after="0" w:line="240" w:lineRule="auto"/>
      </w:pPr>
      <w:r>
        <w:separator/>
      </w:r>
    </w:p>
  </w:endnote>
  <w:endnote w:type="continuationSeparator" w:id="0">
    <w:p w14:paraId="7C4DE280" w14:textId="77777777" w:rsidR="00CB5FE5" w:rsidRDefault="00CB5FE5" w:rsidP="000B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98AB" w14:textId="77777777" w:rsidR="000B7F5A" w:rsidRPr="000B7F5A" w:rsidRDefault="000B7F5A" w:rsidP="000B7F5A">
    <w:pPr>
      <w:jc w:val="both"/>
      <w:rPr>
        <w:b/>
        <w:bCs/>
        <w:i/>
        <w:iCs/>
        <w:color w:val="323E4F" w:themeColor="text2" w:themeShade="BF"/>
        <w:sz w:val="20"/>
        <w:szCs w:val="20"/>
      </w:rPr>
    </w:pPr>
    <w:r w:rsidRPr="000B7F5A">
      <w:rPr>
        <w:b/>
        <w:bCs/>
        <w:i/>
        <w:iCs/>
        <w:color w:val="323E4F" w:themeColor="text2" w:themeShade="BF"/>
        <w:sz w:val="20"/>
        <w:szCs w:val="20"/>
      </w:rPr>
      <w:t>Société ADL IMMOBILIER SAS au capital de 627 009 €- Siège social : 22 bis avenue Honoré Serres 31000 TOULOUSE- RCS TOULOUSE N°301169116 – Carte professionnelle Transactions sur immeubles et fonds de commerce n°31012018000036193 délivré par TOULOUSE. Garant : GALIAN,89 rue de la Boétie 75008 PARIS.</w:t>
    </w:r>
  </w:p>
  <w:p w14:paraId="141238B5" w14:textId="77777777" w:rsidR="000B7F5A" w:rsidRDefault="000B7F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A0C6" w14:textId="77777777" w:rsidR="00CB5FE5" w:rsidRDefault="00CB5FE5" w:rsidP="000B7F5A">
      <w:pPr>
        <w:spacing w:after="0" w:line="240" w:lineRule="auto"/>
      </w:pPr>
      <w:r>
        <w:separator/>
      </w:r>
    </w:p>
  </w:footnote>
  <w:footnote w:type="continuationSeparator" w:id="0">
    <w:p w14:paraId="1CDC2C23" w14:textId="77777777" w:rsidR="00CB5FE5" w:rsidRDefault="00CB5FE5" w:rsidP="000B7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0349E"/>
    <w:multiLevelType w:val="hybridMultilevel"/>
    <w:tmpl w:val="ABE4F7E6"/>
    <w:lvl w:ilvl="0" w:tplc="E3805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61"/>
    <w:rsid w:val="00084E61"/>
    <w:rsid w:val="000B7F5A"/>
    <w:rsid w:val="001214CD"/>
    <w:rsid w:val="001233CE"/>
    <w:rsid w:val="001A35BE"/>
    <w:rsid w:val="001B7914"/>
    <w:rsid w:val="00231E40"/>
    <w:rsid w:val="00467AFA"/>
    <w:rsid w:val="00663CF8"/>
    <w:rsid w:val="00717CAF"/>
    <w:rsid w:val="0085241C"/>
    <w:rsid w:val="008B07F2"/>
    <w:rsid w:val="008C052F"/>
    <w:rsid w:val="008F4A9C"/>
    <w:rsid w:val="00AB06F9"/>
    <w:rsid w:val="00AF1A0E"/>
    <w:rsid w:val="00CB5FE5"/>
    <w:rsid w:val="00D71F74"/>
    <w:rsid w:val="00DE1771"/>
    <w:rsid w:val="00DE45CE"/>
    <w:rsid w:val="00D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B0AA"/>
  <w15:chartTrackingRefBased/>
  <w15:docId w15:val="{43637167-A7E7-4DD8-BC78-FE21E492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A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F5A"/>
  </w:style>
  <w:style w:type="paragraph" w:styleId="Pieddepage">
    <w:name w:val="footer"/>
    <w:basedOn w:val="Normal"/>
    <w:link w:val="PieddepageCar"/>
    <w:uiPriority w:val="99"/>
    <w:unhideWhenUsed/>
    <w:rsid w:val="000B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061D.30E6F6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GOBBO</dc:creator>
  <cp:keywords/>
  <dc:description/>
  <cp:lastModifiedBy>Fabien GOBBO</cp:lastModifiedBy>
  <cp:revision>3</cp:revision>
  <cp:lastPrinted>2021-04-01T15:26:00Z</cp:lastPrinted>
  <dcterms:created xsi:type="dcterms:W3CDTF">2021-04-01T15:26:00Z</dcterms:created>
  <dcterms:modified xsi:type="dcterms:W3CDTF">2021-06-03T09:33:00Z</dcterms:modified>
</cp:coreProperties>
</file>